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378</w:t>
      </w:r>
      <w:r>
        <w:rPr>
          <w:rFonts w:ascii="Times New Roman" w:eastAsia="Times New Roman" w:hAnsi="Times New Roman" w:cs="Times New Roman"/>
        </w:rPr>
        <w:t>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Транспортностроительнаякомпания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Магомедова Курбана </w:t>
      </w:r>
      <w:r>
        <w:rPr>
          <w:rFonts w:ascii="Times New Roman" w:eastAsia="Times New Roman" w:hAnsi="Times New Roman" w:cs="Times New Roman"/>
          <w:sz w:val="28"/>
          <w:szCs w:val="28"/>
        </w:rPr>
        <w:t>Шамиловича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01: 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К.Ш.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Транспортностроительнаякомпания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проезд 6П, д.4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налоговую декларацию по налогу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декларация была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12.09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К.Ш.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К.Ш.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отсутствие.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исследовав материалы дела: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 К.Ш., являясь генеральным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Транспортностроительнаякомпания</w:t>
      </w:r>
      <w:r>
        <w:rPr>
          <w:rFonts w:ascii="Times New Roman" w:eastAsia="Times New Roman" w:hAnsi="Times New Roman" w:cs="Times New Roman"/>
          <w:sz w:val="28"/>
          <w:szCs w:val="28"/>
        </w:rPr>
        <w:t>», расположенного по адресу: ХМАО-Югра, г. Нефтеюганск, проезд 6П, д.4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Срок представления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декларация была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12.09.2023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К.Ш.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составления протокола;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10.01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отчетом об отслеживании почтового отправления;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добавле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Транспортностроительнаякомпания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12.09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Транспортностроительнаякомпания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которого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К.Ш.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 и п.6 статьи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РФ, налоговая декларация представляется каждым налого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5 ст. 174 Налогового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налогоплательщики (в том числе являющиеся налоговыми агентами), а также лица,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обязаны представить в налоговые органы по месту своего учета соответствующую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multilink/10900200/paragraph/9048/number/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декларации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налогу </w:t>
      </w:r>
      <w:r>
        <w:rPr>
          <w:rFonts w:ascii="Times New Roman" w:eastAsia="Times New Roman" w:hAnsi="Times New Roman" w:cs="Times New Roman"/>
          <w:sz w:val="28"/>
          <w:szCs w:val="28"/>
        </w:rPr>
        <w:t>на 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12.09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К.Ш.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правонарушителя.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 в соответствии со ст.ст.4.2, 4.3 Кодекса Российской Федерации об административных правонарушениях, судья не находит.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 К.Ш.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предупреждения.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Транспортностроительнаякомпания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Магомедова Курбана </w:t>
      </w:r>
      <w:r>
        <w:rPr>
          <w:rFonts w:ascii="Times New Roman" w:eastAsia="Times New Roman" w:hAnsi="Times New Roman" w:cs="Times New Roman"/>
          <w:sz w:val="28"/>
          <w:szCs w:val="28"/>
        </w:rPr>
        <w:t>Шамиловича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ст.15.5 КоАП РФ, 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Постановление может быть обжаловано в Нефтеюганский районный суд в течение 10 суток, через ми</w:t>
      </w:r>
      <w:r>
        <w:rPr>
          <w:b w:val="0"/>
          <w:bCs w:val="0"/>
          <w:i w:val="0"/>
          <w:sz w:val="28"/>
          <w:szCs w:val="28"/>
        </w:rPr>
        <w:t>рового судью</w:t>
      </w:r>
      <w:r>
        <w:rPr>
          <w:b w:val="0"/>
          <w:bCs w:val="0"/>
          <w:i w:val="0"/>
          <w:sz w:val="28"/>
          <w:szCs w:val="28"/>
        </w:rPr>
        <w:t>.</w:t>
      </w:r>
    </w:p>
    <w:p>
      <w:pPr>
        <w:spacing w:before="0" w:after="0"/>
        <w:ind w:firstLine="709"/>
        <w:rPr>
          <w:sz w:val="28"/>
          <w:szCs w:val="28"/>
        </w:rPr>
      </w:pP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8">
    <w:name w:val="cat-ExternalSystemDefined grp-29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UserDefinedgrp-32rplc-58">
    <w:name w:val="cat-UserDefined grp-32 rplc-58"/>
    <w:basedOn w:val="DefaultParagraphFont"/>
  </w:style>
  <w:style w:type="character" w:customStyle="1" w:styleId="cat-UserDefinedgrp-33rplc-60">
    <w:name w:val="cat-UserDefined grp-33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